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386" w:rsidRPr="00E73372" w:rsidRDefault="00C85386" w:rsidP="00E73372">
      <w:pPr>
        <w:spacing w:after="0" w:line="480" w:lineRule="auto"/>
        <w:rPr>
          <w:rFonts w:ascii="Times New Roman" w:hAnsi="Times New Roman" w:cs="Times New Roman"/>
          <w:sz w:val="24"/>
          <w:szCs w:val="24"/>
        </w:rPr>
      </w:pPr>
      <w:r w:rsidRPr="00E73372">
        <w:rPr>
          <w:rFonts w:ascii="Times New Roman" w:hAnsi="Times New Roman" w:cs="Times New Roman"/>
          <w:sz w:val="24"/>
          <w:szCs w:val="24"/>
        </w:rPr>
        <w:t xml:space="preserve">Student’s Name </w:t>
      </w:r>
    </w:p>
    <w:p w:rsidR="00C85386" w:rsidRPr="00E73372" w:rsidRDefault="00C85386" w:rsidP="00E73372">
      <w:pPr>
        <w:spacing w:after="0" w:line="480" w:lineRule="auto"/>
        <w:rPr>
          <w:rFonts w:ascii="Times New Roman" w:hAnsi="Times New Roman" w:cs="Times New Roman"/>
          <w:sz w:val="24"/>
          <w:szCs w:val="24"/>
        </w:rPr>
      </w:pPr>
      <w:r w:rsidRPr="00E73372">
        <w:rPr>
          <w:rFonts w:ascii="Times New Roman" w:hAnsi="Times New Roman" w:cs="Times New Roman"/>
          <w:sz w:val="24"/>
          <w:szCs w:val="24"/>
        </w:rPr>
        <w:t xml:space="preserve">Professor’s Name </w:t>
      </w:r>
    </w:p>
    <w:p w:rsidR="00C85386" w:rsidRPr="00E73372" w:rsidRDefault="00C85386" w:rsidP="00E73372">
      <w:pPr>
        <w:spacing w:after="0" w:line="480" w:lineRule="auto"/>
        <w:rPr>
          <w:rFonts w:ascii="Times New Roman" w:hAnsi="Times New Roman" w:cs="Times New Roman"/>
          <w:sz w:val="24"/>
          <w:szCs w:val="24"/>
        </w:rPr>
      </w:pPr>
      <w:r w:rsidRPr="00E73372">
        <w:rPr>
          <w:rFonts w:ascii="Times New Roman" w:hAnsi="Times New Roman" w:cs="Times New Roman"/>
          <w:sz w:val="24"/>
          <w:szCs w:val="24"/>
        </w:rPr>
        <w:t xml:space="preserve">Course </w:t>
      </w:r>
    </w:p>
    <w:p w:rsidR="00C85386" w:rsidRPr="00E73372" w:rsidRDefault="00C85386" w:rsidP="00E73372">
      <w:pPr>
        <w:spacing w:after="0" w:line="480" w:lineRule="auto"/>
        <w:rPr>
          <w:rFonts w:ascii="Times New Roman" w:hAnsi="Times New Roman" w:cs="Times New Roman"/>
          <w:sz w:val="24"/>
          <w:szCs w:val="24"/>
        </w:rPr>
      </w:pPr>
      <w:r w:rsidRPr="00E73372">
        <w:rPr>
          <w:rFonts w:ascii="Times New Roman" w:hAnsi="Times New Roman" w:cs="Times New Roman"/>
          <w:sz w:val="24"/>
          <w:szCs w:val="24"/>
        </w:rPr>
        <w:t>Date</w:t>
      </w:r>
    </w:p>
    <w:p w:rsidR="00E73372" w:rsidRPr="00E73372" w:rsidRDefault="00E73372" w:rsidP="00E73372">
      <w:pPr>
        <w:spacing w:after="0" w:line="480" w:lineRule="auto"/>
        <w:jc w:val="center"/>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t>Rhetorical Analysis</w:t>
      </w:r>
    </w:p>
    <w:p w:rsidR="00E73372" w:rsidRPr="00E73372" w:rsidRDefault="00E73372" w:rsidP="00A90031">
      <w:pPr>
        <w:spacing w:after="0" w:line="480" w:lineRule="auto"/>
        <w:ind w:firstLine="720"/>
        <w:jc w:val="both"/>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t xml:space="preserve">In his essay “Why We Crave Horror Movies,” Stephen King suggests that people watch horror movies to prove themselves or to others that they can do it. A horror movie can be a vacation for the ration, conscious, moral mind; a fearful, crazy, anti-civilized part of every one of us, King claimed, often stays deeply buried, but a horror movie lets that hidden self out for some time. King’s main objective was to explain that people watch horror movies because we are all crazy to some extent. The author uses various comparisons, verb choices, and real-life examples to show and provide an explanation to his concept of man being insane to some extent, and that a horror movie is an escape strategy. He uses logos, pathos, and ethos to prove his point of view and to persuade the reader to believe that we crave horror movies.   </w:t>
      </w:r>
    </w:p>
    <w:p w:rsidR="00E73372" w:rsidRPr="00E73372" w:rsidRDefault="00E73372" w:rsidP="00A90031">
      <w:pPr>
        <w:spacing w:after="0" w:line="480" w:lineRule="auto"/>
        <w:ind w:firstLine="720"/>
        <w:jc w:val="both"/>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t xml:space="preserve">In this writing, King uses several rhetorical devices such as overstatement, metaphors, and analogies. He also uses rhetorical devices, twisted humor to convince, and persuading the audience. In the opening, King says, “I think that we’re all mentally ill; those of us outside the asylums only hide it a little better (1),” to create a shock effect by using generalization and exaggeration. For the act of watching horror films, King uses the analogy of going on a roller-coaster ride, mainly to foreground the importance of the emotions in the experience. He compares riding a roller coaster with watching horror movies. In this case, he appeals to his audiences emotionally by using analogies and texts that play an important role in his argument.  </w:t>
      </w:r>
    </w:p>
    <w:p w:rsidR="00E73372" w:rsidRPr="00E73372" w:rsidRDefault="00E73372" w:rsidP="00A90031">
      <w:pPr>
        <w:spacing w:after="0" w:line="480" w:lineRule="auto"/>
        <w:ind w:firstLine="720"/>
        <w:jc w:val="both"/>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lastRenderedPageBreak/>
        <w:t xml:space="preserve">According to the King, watching a horror film is like “lifting a trap door in the civilized forebrain and throwing a basket of raw meat to the hungry alligators swimming around that subterranean river beneath (2).” Here, the emotions are categorized in two, those that are positive, and those that are negative and anti-social, which are later on associated with alligators that eat raw meat. The alligators in King’s writing are living in a subterranean river—a metaphor that projects human subconscious. He says that if we keep the gators fed, then they are in control. This is used about human beings who after watching horror movies, will be fed. His argument in the essay is well established to prove his thesis. He manages to convince people that they have a mental illness and he ensures his audience believes that without a horror movie there is a chance that we are emotional time bombs. </w:t>
      </w:r>
    </w:p>
    <w:p w:rsidR="00E73372" w:rsidRPr="00E73372" w:rsidRDefault="00E73372" w:rsidP="00A90031">
      <w:pPr>
        <w:spacing w:after="0" w:line="480" w:lineRule="auto"/>
        <w:ind w:firstLine="720"/>
        <w:jc w:val="both"/>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t>King appeals to ethos by ensuring the audience is captivated by his own assumption about horror movies. His claim that we are all somehow insane and that we are simply “potential lynchers” in the text shows his position regarding horror movies, drawing the reader into his own thoughts and subconscious a</w:t>
      </w:r>
      <w:bookmarkStart w:id="0" w:name="_GoBack"/>
      <w:bookmarkEnd w:id="0"/>
      <w:r w:rsidRPr="00E73372">
        <w:rPr>
          <w:rFonts w:ascii="Times New Roman" w:hAnsi="Times New Roman" w:cs="Times New Roman"/>
          <w:sz w:val="24"/>
          <w:szCs w:val="24"/>
          <w:shd w:val="clear" w:color="auto" w:fill="FFFFFF"/>
        </w:rPr>
        <w:t xml:space="preserve">nd the need to see other people from his own perspective. Through interpreting pragmatic features the author’s assumptions are influenced his values because these are formed through personal experiences and cultural beliefs. King, therefore, does not dares us to face our inner selves but instead he admits that insanity is part of humans and watching horror movies releases the internal nightmares. King’s names serial killers to prove that horror plays an important role in society, but his conclusion is more or less an opinion.  </w:t>
      </w:r>
    </w:p>
    <w:p w:rsidR="00E73372" w:rsidRPr="00E73372" w:rsidRDefault="00E73372" w:rsidP="00A90031">
      <w:pPr>
        <w:spacing w:line="480" w:lineRule="auto"/>
        <w:jc w:val="both"/>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br w:type="page"/>
      </w:r>
    </w:p>
    <w:p w:rsidR="00302003" w:rsidRPr="00E73372" w:rsidRDefault="00DE4D10" w:rsidP="00E73372">
      <w:pPr>
        <w:spacing w:after="0" w:line="480" w:lineRule="auto"/>
        <w:jc w:val="center"/>
        <w:rPr>
          <w:rFonts w:ascii="Times New Roman" w:hAnsi="Times New Roman" w:cs="Times New Roman"/>
          <w:sz w:val="24"/>
          <w:szCs w:val="24"/>
          <w:shd w:val="clear" w:color="auto" w:fill="FFFFFF"/>
        </w:rPr>
      </w:pPr>
      <w:r w:rsidRPr="00E73372">
        <w:rPr>
          <w:rFonts w:ascii="Times New Roman" w:hAnsi="Times New Roman" w:cs="Times New Roman"/>
          <w:sz w:val="24"/>
          <w:szCs w:val="24"/>
          <w:shd w:val="clear" w:color="auto" w:fill="FFFFFF"/>
        </w:rPr>
        <w:lastRenderedPageBreak/>
        <w:t>Works Cited</w:t>
      </w:r>
    </w:p>
    <w:p w:rsidR="007E3C57" w:rsidRPr="00E73372" w:rsidRDefault="00E73372" w:rsidP="00E73372">
      <w:pPr>
        <w:spacing w:after="0" w:line="480" w:lineRule="auto"/>
        <w:ind w:left="720" w:hanging="720"/>
        <w:rPr>
          <w:rFonts w:ascii="Times New Roman" w:hAnsi="Times New Roman" w:cs="Times New Roman"/>
          <w:sz w:val="24"/>
          <w:szCs w:val="24"/>
        </w:rPr>
      </w:pPr>
      <w:r w:rsidRPr="00E73372">
        <w:rPr>
          <w:rFonts w:ascii="Times New Roman" w:hAnsi="Times New Roman" w:cs="Times New Roman"/>
          <w:color w:val="222222"/>
          <w:sz w:val="24"/>
          <w:szCs w:val="24"/>
          <w:shd w:val="clear" w:color="auto" w:fill="FFFFFF"/>
        </w:rPr>
        <w:t>King, Stephen. "Why we crave horror movies." </w:t>
      </w:r>
      <w:r w:rsidRPr="00E73372">
        <w:rPr>
          <w:rFonts w:ascii="Times New Roman" w:hAnsi="Times New Roman" w:cs="Times New Roman"/>
          <w:i/>
          <w:iCs/>
          <w:color w:val="222222"/>
          <w:sz w:val="24"/>
          <w:szCs w:val="24"/>
          <w:shd w:val="clear" w:color="auto" w:fill="FFFFFF"/>
        </w:rPr>
        <w:t>Short Essays for Composition</w:t>
      </w:r>
      <w:r w:rsidRPr="00E73372">
        <w:rPr>
          <w:rFonts w:ascii="Times New Roman" w:hAnsi="Times New Roman" w:cs="Times New Roman"/>
          <w:color w:val="222222"/>
          <w:sz w:val="24"/>
          <w:szCs w:val="24"/>
          <w:shd w:val="clear" w:color="auto" w:fill="FFFFFF"/>
        </w:rPr>
        <w:t> (1981): 524.</w:t>
      </w:r>
    </w:p>
    <w:sectPr w:rsidR="007E3C57" w:rsidRPr="00E73372"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5B0" w:rsidRDefault="000725B0" w:rsidP="00145256">
      <w:pPr>
        <w:spacing w:after="0" w:line="240" w:lineRule="auto"/>
      </w:pPr>
      <w:r>
        <w:separator/>
      </w:r>
    </w:p>
  </w:endnote>
  <w:endnote w:type="continuationSeparator" w:id="0">
    <w:p w:rsidR="000725B0" w:rsidRDefault="000725B0"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5B0" w:rsidRDefault="000725B0" w:rsidP="00145256">
      <w:pPr>
        <w:spacing w:after="0" w:line="240" w:lineRule="auto"/>
      </w:pPr>
      <w:r>
        <w:separator/>
      </w:r>
    </w:p>
  </w:footnote>
  <w:footnote w:type="continuationSeparator" w:id="0">
    <w:p w:rsidR="000725B0" w:rsidRDefault="000725B0" w:rsidP="00145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Surname</w:t>
        </w:r>
        <w:r w:rsidR="00C85386">
          <w:rPr>
            <w:rFonts w:ascii="Times New Roman" w:hAnsi="Times New Roman" w:cs="Times New Roman"/>
            <w:sz w:val="24"/>
            <w:szCs w:val="24"/>
          </w:rPr>
          <w:t xml:space="preserv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A90031">
          <w:rPr>
            <w:rFonts w:ascii="Times New Roman" w:hAnsi="Times New Roman" w:cs="Times New Roman"/>
            <w:noProof/>
            <w:sz w:val="24"/>
            <w:szCs w:val="24"/>
          </w:rPr>
          <w:t>3</w:t>
        </w:r>
        <w:r w:rsidR="00CA468B" w:rsidRPr="0064190F">
          <w:rPr>
            <w:rFonts w:ascii="Times New Roman" w:hAnsi="Times New Roman" w:cs="Times New Roman"/>
            <w:noProof/>
            <w:sz w:val="24"/>
            <w:szCs w:val="24"/>
          </w:rPr>
          <w:fldChar w:fldCharType="end"/>
        </w:r>
      </w:p>
    </w:sdtContent>
  </w:sdt>
  <w:p w:rsidR="001378DF" w:rsidRPr="0064190F" w:rsidRDefault="000725B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0725B0"/>
    <w:rsid w:val="00145256"/>
    <w:rsid w:val="00155244"/>
    <w:rsid w:val="00177689"/>
    <w:rsid w:val="00185362"/>
    <w:rsid w:val="00193560"/>
    <w:rsid w:val="001D6924"/>
    <w:rsid w:val="002859A7"/>
    <w:rsid w:val="0029767B"/>
    <w:rsid w:val="002C024B"/>
    <w:rsid w:val="002F7EB7"/>
    <w:rsid w:val="00302003"/>
    <w:rsid w:val="00326EAC"/>
    <w:rsid w:val="003537D8"/>
    <w:rsid w:val="00427287"/>
    <w:rsid w:val="0052153F"/>
    <w:rsid w:val="005304EF"/>
    <w:rsid w:val="00567FB0"/>
    <w:rsid w:val="005E2CF8"/>
    <w:rsid w:val="005F6774"/>
    <w:rsid w:val="006101DC"/>
    <w:rsid w:val="006A0284"/>
    <w:rsid w:val="006B3ABE"/>
    <w:rsid w:val="006E3155"/>
    <w:rsid w:val="007151B2"/>
    <w:rsid w:val="007470CE"/>
    <w:rsid w:val="00781E63"/>
    <w:rsid w:val="007B72D1"/>
    <w:rsid w:val="007E3C57"/>
    <w:rsid w:val="007E71F3"/>
    <w:rsid w:val="008B772B"/>
    <w:rsid w:val="00905012"/>
    <w:rsid w:val="00962F9A"/>
    <w:rsid w:val="00983D63"/>
    <w:rsid w:val="009A3E59"/>
    <w:rsid w:val="00A1747F"/>
    <w:rsid w:val="00A64F93"/>
    <w:rsid w:val="00A90031"/>
    <w:rsid w:val="00AD3878"/>
    <w:rsid w:val="00BB574B"/>
    <w:rsid w:val="00C2263D"/>
    <w:rsid w:val="00C84015"/>
    <w:rsid w:val="00C85386"/>
    <w:rsid w:val="00CA468B"/>
    <w:rsid w:val="00CE4507"/>
    <w:rsid w:val="00D54557"/>
    <w:rsid w:val="00D66886"/>
    <w:rsid w:val="00DA205E"/>
    <w:rsid w:val="00DA67D8"/>
    <w:rsid w:val="00DE4D10"/>
    <w:rsid w:val="00E73372"/>
    <w:rsid w:val="00E73FB7"/>
    <w:rsid w:val="00F01907"/>
    <w:rsid w:val="00F20438"/>
    <w:rsid w:val="00F518B2"/>
    <w:rsid w:val="00F5515D"/>
    <w:rsid w:val="00F6010F"/>
    <w:rsid w:val="00F91B09"/>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28031-3A5C-4512-854B-E065D47C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2</b:RefOrder>
  </b:Source>
  <b:Source>
    <b:Tag>Cli08</b:Tag>
    <b:SourceType>Film</b:SourceType>
    <b:Guid>{EA05C80B-0FFF-4E3E-AE18-7CCD09B4ED33}</b:Guid>
    <b:Title>Gran Torino</b:Title>
    <b:Year>2008</b:Year>
    <b:Author>
      <b:Performer>
        <b:NameList>
          <b:Person>
            <b:Last>Eastwood</b:Last>
            <b:First>Clint</b:First>
          </b:Person>
        </b:NameList>
      </b:Performer>
      <b:Director>
        <b:NameList>
          <b:Person>
            <b:Last>Eastwood</b:Last>
            <b:First>Clint</b:First>
          </b:Person>
        </b:NameList>
      </b:Director>
    </b:Author>
    <b:RefOrder>1</b:RefOrder>
  </b:Source>
</b:Sources>
</file>

<file path=customXml/itemProps1.xml><?xml version="1.0" encoding="utf-8"?>
<ds:datastoreItem xmlns:ds="http://schemas.openxmlformats.org/officeDocument/2006/customXml" ds:itemID="{2DAD2740-A46A-488B-AEC2-BB380C233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2019-02-27T20:31:00Z</dcterms:created>
  <dcterms:modified xsi:type="dcterms:W3CDTF">2019-02-27T20:31:00Z</dcterms:modified>
</cp:coreProperties>
</file>